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26D0C" w:rsidRDefault="00BB48BA" w:rsidP="00B26D0C">
      <w:pPr>
        <w:jc w:val="both"/>
        <w:rPr>
          <w:sz w:val="27"/>
          <w:szCs w:val="27"/>
          <w:lang w:val="uk-UA"/>
        </w:rPr>
      </w:pPr>
      <w:r>
        <w:rPr>
          <w:sz w:val="27"/>
          <w:szCs w:val="27"/>
          <w:lang w:val="uk-UA"/>
        </w:rPr>
        <w:t>діяльності, розташованої</w:t>
      </w:r>
      <w:r w:rsidR="00C504FF">
        <w:rPr>
          <w:sz w:val="27"/>
          <w:szCs w:val="27"/>
          <w:lang w:val="uk-UA"/>
        </w:rPr>
        <w:t xml:space="preserve"> по вул. Будьонного</w:t>
      </w:r>
    </w:p>
    <w:p w:rsidR="00A618FA" w:rsidRPr="00EA5B0C" w:rsidRDefault="00A618FA" w:rsidP="00B26D0C">
      <w:pPr>
        <w:jc w:val="both"/>
        <w:rPr>
          <w:sz w:val="27"/>
          <w:szCs w:val="27"/>
          <w:lang w:val="uk-UA"/>
        </w:rPr>
      </w:pPr>
      <w:r>
        <w:rPr>
          <w:sz w:val="27"/>
          <w:szCs w:val="27"/>
          <w:lang w:val="uk-UA"/>
        </w:rPr>
        <w:t>в районі зупинки громадського транспорту «Автовокзал»</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bookmarkStart w:id="0" w:name="_GoBack"/>
      <w:bookmarkEnd w:id="0"/>
      <w:r w:rsidR="002F6A44">
        <w:rPr>
          <w:sz w:val="27"/>
          <w:szCs w:val="27"/>
          <w:lang w:val="uk-UA"/>
        </w:rPr>
        <w:t xml:space="preserve"> (кіоск «Каса»</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C504FF">
        <w:rPr>
          <w:sz w:val="27"/>
          <w:szCs w:val="27"/>
          <w:lang w:val="uk-UA"/>
        </w:rPr>
        <w:t>овані  по вул. Будьонного</w:t>
      </w:r>
      <w:r w:rsidR="00A618FA">
        <w:rPr>
          <w:sz w:val="27"/>
          <w:szCs w:val="27"/>
          <w:lang w:val="uk-UA"/>
        </w:rPr>
        <w:t>, в районі зупинки громадського транспорту «Автовокзал»</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 xml:space="preserve">3. Відділу інформаційного та програмного забезпечення міської ради </w:t>
      </w:r>
      <w:r w:rsidRPr="00EA5B0C">
        <w:rPr>
          <w:sz w:val="27"/>
          <w:szCs w:val="27"/>
          <w:lang w:val="uk-UA"/>
        </w:rPr>
        <w:lastRenderedPageBreak/>
        <w:t>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BB48B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B48BA">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23F39"/>
    <w:rsid w:val="000B74A0"/>
    <w:rsid w:val="002F6A44"/>
    <w:rsid w:val="00456502"/>
    <w:rsid w:val="0069400C"/>
    <w:rsid w:val="007A3C5B"/>
    <w:rsid w:val="009315B1"/>
    <w:rsid w:val="00932BF0"/>
    <w:rsid w:val="00944C0A"/>
    <w:rsid w:val="00A618FA"/>
    <w:rsid w:val="00AA4E2B"/>
    <w:rsid w:val="00B26D0C"/>
    <w:rsid w:val="00BB48BA"/>
    <w:rsid w:val="00C504FF"/>
    <w:rsid w:val="00DC519F"/>
    <w:rsid w:val="00E92848"/>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F562"/>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12F5-80F8-4E26-B161-7107658E2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2021-02-18T09:47:00Z</cp:lastPrinted>
  <dcterms:created xsi:type="dcterms:W3CDTF">2021-02-18T09:40:00Z</dcterms:created>
  <dcterms:modified xsi:type="dcterms:W3CDTF">2021-02-18T09:47:00Z</dcterms:modified>
</cp:coreProperties>
</file>