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01" w:rsidRDefault="00B36701" w:rsidP="00441FDC">
      <w:pPr>
        <w:jc w:val="center"/>
        <w:rPr>
          <w:rFonts w:asciiTheme="minorHAnsi" w:hAnsiTheme="minorHAnsi"/>
          <w:color w:val="000000"/>
          <w:lang w:val="uk-UA" w:eastAsia="ru-RU"/>
        </w:rPr>
      </w:pPr>
    </w:p>
    <w:p w:rsidR="00F97DB3" w:rsidRDefault="00F97DB3" w:rsidP="00441FDC">
      <w:pPr>
        <w:jc w:val="center"/>
        <w:rPr>
          <w:rFonts w:asciiTheme="minorHAnsi" w:hAnsiTheme="minorHAnsi"/>
          <w:color w:val="000000"/>
          <w:lang w:val="uk-UA" w:eastAsia="ru-RU"/>
        </w:rPr>
      </w:pPr>
    </w:p>
    <w:p w:rsidR="00F97DB3" w:rsidRPr="00F97DB3" w:rsidRDefault="00F97DB3" w:rsidP="00441FDC">
      <w:pPr>
        <w:jc w:val="center"/>
        <w:rPr>
          <w:rFonts w:asciiTheme="minorHAnsi" w:hAnsiTheme="minorHAnsi"/>
          <w:color w:val="000000"/>
          <w:lang w:val="uk-UA" w:eastAsia="ru-RU"/>
        </w:rPr>
      </w:pPr>
    </w:p>
    <w:p w:rsidR="00B36701" w:rsidRDefault="00B36701" w:rsidP="00441FDC">
      <w:pPr>
        <w:jc w:val="center"/>
        <w:rPr>
          <w:rFonts w:ascii="-webkit-standard" w:hAnsi="-webkit-standard"/>
          <w:color w:val="000000"/>
          <w:lang w:eastAsia="ru-RU"/>
        </w:rPr>
      </w:pPr>
    </w:p>
    <w:p w:rsidR="00B36701" w:rsidRPr="00441FDC" w:rsidRDefault="00B36701" w:rsidP="00441FDC">
      <w:pPr>
        <w:jc w:val="center"/>
        <w:rPr>
          <w:rFonts w:ascii="-webkit-standard" w:hAnsi="-webkit-standard"/>
          <w:color w:val="000000"/>
          <w:lang w:eastAsia="ru-RU"/>
        </w:rPr>
      </w:pPr>
    </w:p>
    <w:p w:rsidR="00B36701" w:rsidRPr="007567D6" w:rsidRDefault="00B36701" w:rsidP="00441FDC">
      <w:pPr>
        <w:rPr>
          <w:rFonts w:ascii="Times New Roman" w:hAnsi="Times New Roman"/>
          <w:lang w:val="uk-UA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8901"/>
        <w:gridCol w:w="880"/>
      </w:tblGrid>
      <w:tr w:rsidR="00B36701" w:rsidRPr="00A5034C" w:rsidTr="00441FDC">
        <w:trPr>
          <w:tblCellSpacing w:w="0" w:type="dxa"/>
        </w:trPr>
        <w:tc>
          <w:tcPr>
            <w:tcW w:w="4550" w:type="pct"/>
          </w:tcPr>
          <w:p w:rsidR="00B36701" w:rsidRDefault="00B36701" w:rsidP="005442C3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567D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 затвердження Програми забезпечення</w:t>
            </w:r>
          </w:p>
          <w:p w:rsidR="00B36701" w:rsidRDefault="00B36701" w:rsidP="005442C3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567D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житлом посадових осіб  органів місцевого </w:t>
            </w:r>
          </w:p>
          <w:p w:rsidR="00B36701" w:rsidRDefault="00B36701" w:rsidP="005442C3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567D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самоврядування та державних органів, </w:t>
            </w:r>
          </w:p>
          <w:p w:rsidR="00B36701" w:rsidRDefault="00B36701" w:rsidP="005442C3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567D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 також працівників органів прокуратури,</w:t>
            </w:r>
          </w:p>
          <w:p w:rsidR="00B36701" w:rsidRPr="007567D6" w:rsidRDefault="00B36701" w:rsidP="005442C3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567D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національної поліції та служби безпеки України</w:t>
            </w:r>
          </w:p>
        </w:tc>
        <w:tc>
          <w:tcPr>
            <w:tcW w:w="450" w:type="pct"/>
          </w:tcPr>
          <w:p w:rsidR="00B36701" w:rsidRPr="007567D6" w:rsidRDefault="003C6E92" w:rsidP="00441F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6E92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" style="width:.9pt;height:.9pt;visibility:visible;mso-width-percent:0;mso-height-percent:0;mso-width-percent:0;mso-height-percent:0">
                  <v:imagedata r:id="rId5" r:href="rId6"/>
                </v:shape>
              </w:pict>
            </w:r>
          </w:p>
        </w:tc>
      </w:tr>
    </w:tbl>
    <w:p w:rsidR="00B36701" w:rsidRDefault="00B36701" w:rsidP="005442C3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</w:p>
    <w:p w:rsidR="00B36701" w:rsidRDefault="00B36701" w:rsidP="005442C3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>Відповідно до ст.</w:t>
      </w:r>
      <w:r w:rsidRPr="007567D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30 Закону України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«</w:t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>Про місцеве самоврядування в Україні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державний захист працівників суду та правоохоронних органів», </w:t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>ст.</w:t>
      </w:r>
      <w:r w:rsidRPr="007567D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47 Конституції України, Житлового кодексу України, з метою залучення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роботи </w:t>
      </w:r>
      <w:r w:rsidRPr="007567D6">
        <w:rPr>
          <w:rFonts w:ascii="Times New Roman" w:hAnsi="Times New Roman"/>
          <w:color w:val="000000"/>
          <w:sz w:val="28"/>
          <w:szCs w:val="28"/>
          <w:lang w:val="uk-UA" w:eastAsia="ru-RU"/>
        </w:rPr>
        <w:t>та закріплення професійних кадрівв органах місцевого самоврядування та державних органів, а також працівників органів прокуратури, національної поліції та служби безпеки України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:rsidR="00B36701" w:rsidRDefault="00B36701" w:rsidP="00441FDC">
      <w:pPr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 И Р І Ш И Л А:</w:t>
      </w:r>
    </w:p>
    <w:p w:rsidR="00B36701" w:rsidRPr="007567D6" w:rsidRDefault="00B36701" w:rsidP="00441FDC">
      <w:pPr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Default="00B36701" w:rsidP="001B30C0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442C3">
        <w:rPr>
          <w:rFonts w:ascii="Times New Roman" w:hAnsi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Затвердити «</w:t>
      </w:r>
      <w:r w:rsidRPr="005442C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Програму забезпечення житлом посадових осіб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органів місцевого самоврядування та державних органів,а також працівників органів прокуратури     національної   поліції   та    служби     безпеки    України»    згідно</w:t>
      </w:r>
    </w:p>
    <w:p w:rsidR="00B36701" w:rsidRDefault="00B36701" w:rsidP="001B30C0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 додатком 1</w:t>
      </w:r>
    </w:p>
    <w:p w:rsidR="00B36701" w:rsidRDefault="00B36701" w:rsidP="008B649B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2. Департаменту містобудування, архітектури та земельних ресурсів міської ради (ЖАРОВУ М.) та управлінню капітального будівництва міської ради (КОНДРАТОВУ В.) розробити порядок передачі об’єктів </w:t>
      </w:r>
      <w:r w:rsid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комунальної власності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під виконання Програми</w:t>
      </w:r>
      <w:r w:rsidRPr="00F253CE">
        <w:rPr>
          <w:rFonts w:ascii="Times New Roman" w:hAnsi="Times New Roman"/>
          <w:color w:val="000000"/>
          <w:sz w:val="28"/>
          <w:szCs w:val="28"/>
          <w:lang w:val="uk-UA" w:eastAsia="ru-RU"/>
        </w:rPr>
        <w:t>забезпечення житлом посадових осіб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органів місцевого </w:t>
      </w:r>
      <w:r w:rsidRPr="00F253CE">
        <w:rPr>
          <w:rFonts w:ascii="Times New Roman" w:hAnsi="Times New Roman"/>
          <w:color w:val="000000"/>
          <w:sz w:val="28"/>
          <w:szCs w:val="28"/>
          <w:lang w:val="uk-UA" w:eastAsia="ru-RU"/>
        </w:rPr>
        <w:t>самоврядування та державних органів а також працівників органів прокуратури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національної </w:t>
      </w:r>
      <w:r w:rsidRPr="00F253CE">
        <w:rPr>
          <w:rFonts w:ascii="Times New Roman" w:hAnsi="Times New Roman"/>
          <w:color w:val="000000"/>
          <w:sz w:val="28"/>
          <w:szCs w:val="28"/>
          <w:lang w:val="uk-UA" w:eastAsia="ru-RU"/>
        </w:rPr>
        <w:t>поліції та служби безпеки України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».         </w:t>
      </w: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</w:t>
      </w:r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 Контроль за </w:t>
      </w:r>
      <w:proofErr w:type="spellStart"/>
      <w:r w:rsidR="00B36701"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виконаннямрішення</w:t>
      </w:r>
      <w:proofErr w:type="spellEnd"/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B36701">
        <w:rPr>
          <w:rFonts w:ascii="Times New Roman" w:hAnsi="Times New Roman"/>
          <w:color w:val="000000"/>
          <w:sz w:val="28"/>
          <w:szCs w:val="28"/>
          <w:lang w:val="uk-UA" w:eastAsia="ru-RU"/>
        </w:rPr>
        <w:t>покласти</w:t>
      </w:r>
      <w:r w:rsidR="00B36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заступника </w:t>
      </w:r>
      <w:r w:rsidR="00B36701">
        <w:rPr>
          <w:rFonts w:ascii="Times New Roman" w:hAnsi="Times New Roman"/>
          <w:color w:val="000000"/>
          <w:sz w:val="28"/>
          <w:szCs w:val="28"/>
          <w:lang w:val="uk-UA" w:eastAsia="ru-RU"/>
        </w:rPr>
        <w:t>міського</w:t>
      </w:r>
      <w:proofErr w:type="spellStart"/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>голови</w:t>
      </w:r>
      <w:proofErr w:type="spellEnd"/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spellEnd"/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t>питань</w:t>
      </w:r>
      <w:proofErr w:type="spellEnd"/>
      <w:r w:rsidR="00B36701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питань діяльності виконавчих органів ради Олександра ЛУК</w:t>
      </w:r>
      <w:r w:rsidR="00B36701" w:rsidRPr="00471D63">
        <w:rPr>
          <w:rFonts w:ascii="Times New Roman" w:hAnsi="Times New Roman"/>
          <w:color w:val="000000"/>
          <w:sz w:val="28"/>
          <w:szCs w:val="28"/>
          <w:lang w:eastAsia="ru-RU"/>
        </w:rPr>
        <w:t>’</w:t>
      </w:r>
      <w:r w:rsidR="00B36701">
        <w:rPr>
          <w:rFonts w:ascii="Times New Roman" w:hAnsi="Times New Roman"/>
          <w:color w:val="000000"/>
          <w:sz w:val="28"/>
          <w:szCs w:val="28"/>
          <w:lang w:val="uk-UA" w:eastAsia="ru-RU"/>
        </w:rPr>
        <w:t>ЯНЕНКА.</w:t>
      </w:r>
      <w:r w:rsidR="00B36701" w:rsidRPr="007567D6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B649B" w:rsidRDefault="008B649B" w:rsidP="0034777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6701" w:rsidRPr="00347776" w:rsidRDefault="00B36701" w:rsidP="00347776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7567D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567D6">
        <w:rPr>
          <w:rFonts w:ascii="Times New Roman" w:hAnsi="Times New Roman"/>
          <w:color w:val="000000"/>
          <w:lang w:eastAsia="ru-RU"/>
        </w:rPr>
        <w:br/>
      </w:r>
      <w:proofErr w:type="spellStart"/>
      <w:r w:rsidRPr="001B30C0">
        <w:rPr>
          <w:rFonts w:ascii="Times New Roman" w:hAnsi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1B3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голова </w:t>
      </w:r>
      <w:r w:rsidRPr="001B30C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</w:t>
      </w:r>
      <w:r w:rsid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</w:t>
      </w:r>
      <w:r w:rsidRPr="001B30C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Ігор КОЛИХАЄВ </w:t>
      </w: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Pr="004A7453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3397"/>
      </w:tblGrid>
      <w:tr w:rsidR="00B36701" w:rsidRPr="008B649B" w:rsidTr="00A5034C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B36701" w:rsidRPr="00A5034C" w:rsidRDefault="00B36701" w:rsidP="00441FDC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B36701" w:rsidRDefault="00B36701" w:rsidP="00441FDC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A503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A503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1</w:t>
            </w:r>
          </w:p>
          <w:p w:rsidR="008B649B" w:rsidRDefault="00B36701" w:rsidP="00441FDC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649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Затверджено</w:t>
            </w:r>
            <w:r w:rsidRPr="00A503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36701" w:rsidRPr="004A7453" w:rsidRDefault="00B36701" w:rsidP="00441FDC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B649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br/>
            </w:r>
            <w:r w:rsidR="008B649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рішенням</w:t>
            </w:r>
            <w:r w:rsidRPr="008B649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  <w:r w:rsidRPr="00A503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B649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br/>
              <w:t>від</w:t>
            </w:r>
            <w:r w:rsidRPr="00A503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B649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___________№___</w:t>
            </w:r>
          </w:p>
        </w:tc>
      </w:tr>
    </w:tbl>
    <w:p w:rsidR="00B36701" w:rsidRPr="008B649B" w:rsidRDefault="00B36701" w:rsidP="00A7247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</w:p>
    <w:p w:rsidR="00B36701" w:rsidRPr="00A7247F" w:rsidRDefault="00B36701" w:rsidP="00F253CE">
      <w:pPr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10B9D">
        <w:rPr>
          <w:rFonts w:ascii="Times New Roman" w:hAnsi="Times New Roman"/>
          <w:color w:val="000000"/>
          <w:sz w:val="28"/>
          <w:szCs w:val="28"/>
          <w:lang w:val="uk-UA" w:eastAsia="ru-RU"/>
        </w:rPr>
        <w:t>ПРОГРАМА</w:t>
      </w:r>
      <w:r w:rsidRPr="00F10B9D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Pr="00F10B9D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абезпечення житлом посадових осіб 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органів місцевого самоврядування та державних органів, а такожпрацівників органів прокуратури, національної поліції та служби безпеки України</w:t>
      </w:r>
    </w:p>
    <w:p w:rsidR="00B36701" w:rsidRPr="00A7247F" w:rsidRDefault="00B36701" w:rsidP="00A7247F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Pr="00A7247F" w:rsidRDefault="00B36701" w:rsidP="00A7247F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724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Паспорт </w:t>
      </w:r>
      <w:proofErr w:type="spellStart"/>
      <w:r w:rsidRPr="00A724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B36701" w:rsidRPr="00A7247F" w:rsidRDefault="00B36701" w:rsidP="00A7247F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30"/>
        <w:gridCol w:w="4785"/>
      </w:tblGrid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ІніціаторрозробленняПрограми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Управління капітального будівництва Херсонської міської ради</w:t>
            </w:r>
          </w:p>
        </w:tc>
      </w:tr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РозробникПрограми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4A7453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Управління капітального будівництва Херсонської міської ради</w:t>
            </w:r>
          </w:p>
        </w:tc>
      </w:tr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ГоловнийвиконавецьПрограми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4A7453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Управління капітального будівництва Херсонської міської ради</w:t>
            </w:r>
          </w:p>
        </w:tc>
      </w:tr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УчасникиПрограми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4A7453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Управління капітального будівництва Херсонської міської ради, департамент містобудування, архітектури та земельних ресурсів Херсонської міської ради, департамент розвитку комунальної власності</w:t>
            </w:r>
          </w:p>
        </w:tc>
      </w:tr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4A7453" w:rsidRDefault="00B36701" w:rsidP="004A745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ТермінреалізаціїПрограми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4A7453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21</w:t>
            </w: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ДжерелафінансуванняПрограми</w:t>
            </w:r>
            <w:proofErr w:type="spellEnd"/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Кошти:</w:t>
            </w:r>
          </w:p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бюджетХерсонської міської територіальної громади</w:t>
            </w:r>
          </w:p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державний бюджет </w:t>
            </w:r>
          </w:p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 обласний бюджет</w:t>
            </w:r>
          </w:p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- інших підприємств та організацій </w:t>
            </w:r>
          </w:p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 інші джерела фінансування</w:t>
            </w:r>
          </w:p>
        </w:tc>
      </w:tr>
      <w:tr w:rsidR="00B36701" w:rsidRPr="00A5034C" w:rsidTr="00441FDC">
        <w:trPr>
          <w:tblCellSpacing w:w="15" w:type="dxa"/>
        </w:trPr>
        <w:tc>
          <w:tcPr>
            <w:tcW w:w="41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6701" w:rsidRPr="00A7247F" w:rsidRDefault="00B36701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Обсягфінансовихресурсів</w:t>
            </w:r>
            <w:proofErr w:type="spellEnd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реалізаціїПрограми</w:t>
            </w:r>
            <w:proofErr w:type="spellEnd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(на </w:t>
            </w:r>
            <w:proofErr w:type="spellStart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початковийетап</w:t>
            </w:r>
            <w:proofErr w:type="spellEnd"/>
            <w:r w:rsidRPr="00A72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6701" w:rsidRPr="00A7247F" w:rsidRDefault="00F97DB3" w:rsidP="00A7247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C6E92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Рисунок 1" o:spid="_x0000_i1026" type="#_x0000_t75" alt="" style="width:.9pt;height:.9pt;visibility:visible;mso-width-percent:0;mso-height-percent:0;mso-width-percent:0;mso-height-percent:0">
                  <v:imagedata r:id="rId5" r:href="rId7"/>
                </v:shape>
              </w:pict>
            </w:r>
          </w:p>
        </w:tc>
      </w:tr>
    </w:tbl>
    <w:p w:rsidR="00B36701" w:rsidRDefault="00B36701" w:rsidP="00A7247F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36701" w:rsidRDefault="00B36701" w:rsidP="00A7247F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36701" w:rsidRDefault="00B36701" w:rsidP="00A7247F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36701" w:rsidRDefault="00B36701" w:rsidP="00A7247F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36701" w:rsidRPr="004A7453" w:rsidRDefault="00B36701" w:rsidP="00A7247F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B36701" w:rsidRPr="00F97DB3" w:rsidRDefault="008B649B" w:rsidP="008B649B">
      <w:pPr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2. </w:t>
      </w:r>
      <w:r w:rsidR="00B36701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</w:t>
      </w:r>
      <w:r w:rsidR="00B36701" w:rsidRPr="00F97DB3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изначення проблем на </w:t>
      </w:r>
      <w:proofErr w:type="spellStart"/>
      <w:r w:rsidR="00B36701" w:rsidRPr="00F97DB3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розв'язанняякихспрямованапрограма</w:t>
      </w:r>
      <w:proofErr w:type="spellEnd"/>
    </w:p>
    <w:p w:rsidR="00B36701" w:rsidRPr="00A7247F" w:rsidRDefault="00B36701" w:rsidP="00A7247F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Pr="00A7247F" w:rsidRDefault="00B36701" w:rsidP="00A7247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Програма забезпечення житлом посадових осіб органів місцевого самоврядування та державних органів, а також працівників органів прокуратури, національної поліції та служби безпеки України (далі – Програма) розроблена для </w:t>
      </w:r>
      <w:r w:rsidRPr="00A7247F">
        <w:rPr>
          <w:rFonts w:ascii="Times New Roman" w:hAnsi="Times New Roman"/>
          <w:sz w:val="28"/>
          <w:szCs w:val="28"/>
          <w:lang w:val="uk-UA"/>
        </w:rPr>
        <w:t>отримання ефективного інструменту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закріплення кваліфікованих кадрів в виконавчих органах місцевого самоврядування, державних установах на території Херсонської міської територіальної громади та </w:t>
      </w:r>
      <w:r w:rsidRPr="00A7247F">
        <w:rPr>
          <w:rFonts w:ascii="Times New Roman" w:hAnsi="Times New Roman"/>
          <w:sz w:val="28"/>
          <w:szCs w:val="28"/>
          <w:lang w:val="uk-UA"/>
        </w:rPr>
        <w:t xml:space="preserve">створення додаткових стимулів для працевлаштування молодих спеціалістів, 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виконання  Житлового Кодексу Української РСР; Законів України «Про місцеве самоврядування в Україні», Постанови Кабінету Міністрів України  від 24 жовтня 2012 р. № 967</w:t>
      </w:r>
      <w:r w:rsid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з метою забезпечення житломпрацівників установ та організацій, що утримуються за рахунок коштів державного та місцевих бюджетів,  органів місцевого самоврядування, прокуратури, внутрішніх справ, Служби безпеки України</w:t>
      </w:r>
      <w:r w:rsid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(далі – зацікавлені особи).</w:t>
      </w:r>
    </w:p>
    <w:p w:rsidR="00B36701" w:rsidRPr="00A7247F" w:rsidRDefault="00B36701" w:rsidP="00A7247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Pr="00A7247F" w:rsidRDefault="00B36701" w:rsidP="008B649B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724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Мета </w:t>
      </w:r>
      <w:proofErr w:type="spellStart"/>
      <w:r w:rsidRPr="00A724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:rsidR="00B36701" w:rsidRPr="00A7247F" w:rsidRDefault="00B36701" w:rsidP="00A7247F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6701" w:rsidRDefault="00B36701" w:rsidP="008B649B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7247F">
        <w:rPr>
          <w:rFonts w:ascii="Times New Roman" w:hAnsi="Times New Roman"/>
          <w:sz w:val="28"/>
          <w:szCs w:val="28"/>
          <w:lang w:val="uk-UA"/>
        </w:rPr>
        <w:t xml:space="preserve">Метою Програми є забезпечення житлом </w:t>
      </w:r>
      <w:r w:rsidR="008B649B">
        <w:rPr>
          <w:rFonts w:ascii="Times New Roman" w:hAnsi="Times New Roman"/>
          <w:sz w:val="28"/>
          <w:szCs w:val="28"/>
          <w:lang w:val="uk-UA"/>
        </w:rPr>
        <w:t xml:space="preserve">зацікавлених осіб </w:t>
      </w:r>
      <w:r w:rsidRPr="00A7247F">
        <w:rPr>
          <w:rFonts w:ascii="Times New Roman" w:hAnsi="Times New Roman"/>
          <w:sz w:val="28"/>
          <w:szCs w:val="28"/>
          <w:lang w:val="uk-UA"/>
        </w:rPr>
        <w:t>шляхом будівництва або реконструкції житла</w:t>
      </w:r>
      <w:r w:rsidR="008B649B">
        <w:rPr>
          <w:rFonts w:ascii="Times New Roman" w:hAnsi="Times New Roman"/>
          <w:sz w:val="28"/>
          <w:szCs w:val="28"/>
          <w:lang w:val="uk-UA"/>
        </w:rPr>
        <w:t>, що перебувають в державній або комунальній власності.</w:t>
      </w:r>
    </w:p>
    <w:p w:rsidR="00B36701" w:rsidRPr="00A7247F" w:rsidRDefault="00B36701" w:rsidP="00A7247F">
      <w:pPr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Pr="008B649B" w:rsidRDefault="00B36701" w:rsidP="008B649B">
      <w:pPr>
        <w:numPr>
          <w:ilvl w:val="0"/>
          <w:numId w:val="6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8B649B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Термін виконання Програми</w:t>
      </w:r>
    </w:p>
    <w:p w:rsidR="00B36701" w:rsidRPr="00A7247F" w:rsidRDefault="00B36701" w:rsidP="00A7247F">
      <w:pPr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701" w:rsidRPr="00A7247F" w:rsidRDefault="00B36701" w:rsidP="00A7247F">
      <w:pPr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Враховуючи складність поставлених завдань, а також беззаперечний факт, що реалізація цієї проблеми потребує значної кількості коштів,</w:t>
      </w:r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встановити орієнтовний термін реалізації Програми 5 років. </w:t>
      </w:r>
    </w:p>
    <w:p w:rsidR="00B36701" w:rsidRPr="00A7247F" w:rsidRDefault="00B36701" w:rsidP="00A7247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36701" w:rsidRPr="008B649B" w:rsidRDefault="00B36701" w:rsidP="00A7247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36701" w:rsidRPr="00A7247F" w:rsidRDefault="008B649B" w:rsidP="00A7247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5</w:t>
      </w:r>
      <w:r w:rsidR="00B36701" w:rsidRPr="00A724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. Шляхи </w:t>
      </w:r>
      <w:proofErr w:type="spellStart"/>
      <w:r w:rsidR="00B36701" w:rsidRPr="00A724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реалізаціїПрограми</w:t>
      </w:r>
      <w:proofErr w:type="spellEnd"/>
    </w:p>
    <w:p w:rsidR="00B36701" w:rsidRDefault="00B36701" w:rsidP="004A7453">
      <w:pPr>
        <w:ind w:left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З </w:t>
      </w:r>
      <w:proofErr w:type="spellStart"/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t>врахуванням</w:t>
      </w:r>
      <w:proofErr w:type="spellEnd"/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норм </w:t>
      </w:r>
      <w:proofErr w:type="spellStart"/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t>цивільного</w:t>
      </w:r>
      <w:proofErr w:type="spellEnd"/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7247F">
        <w:rPr>
          <w:rFonts w:ascii="Times New Roman" w:hAnsi="Times New Roman"/>
          <w:color w:val="000000"/>
          <w:sz w:val="28"/>
          <w:szCs w:val="28"/>
          <w:lang w:eastAsia="ru-RU"/>
        </w:rPr>
        <w:t>жи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тловогозаконодавствавизначити</w:t>
      </w:r>
      <w:proofErr w:type="spellEnd"/>
    </w:p>
    <w:p w:rsidR="00B36701" w:rsidRPr="00F97DB3" w:rsidRDefault="00B36701" w:rsidP="004A7453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такі шляхи </w:t>
      </w:r>
      <w:proofErr w:type="spellStart"/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>реалізаціїПрограми</w:t>
      </w:r>
      <w:proofErr w:type="spellEnd"/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B36701" w:rsidRPr="00A7247F" w:rsidRDefault="00B36701" w:rsidP="004A7453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>створення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житла</w:t>
      </w:r>
      <w:proofErr w:type="spellEnd"/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</w:t>
      </w:r>
      <w:proofErr w:type="spellStart"/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>результатіреконструкціїнежитловихприміщень</w:t>
      </w:r>
      <w:proofErr w:type="spellEnd"/>
      <w:r w:rsid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</w:t>
      </w:r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передачі до </w:t>
      </w:r>
      <w:proofErr w:type="spellStart"/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комунальноївласностівідпідприємств</w:t>
      </w:r>
      <w:proofErr w:type="spellEnd"/>
      <w:r w:rsidRPr="00F97DB3">
        <w:rPr>
          <w:rFonts w:ascii="Times New Roman" w:hAnsi="Times New Roman"/>
          <w:color w:val="000000"/>
          <w:sz w:val="28"/>
          <w:szCs w:val="28"/>
          <w:lang w:val="uk-UA" w:eastAsia="ru-RU"/>
        </w:rPr>
        <w:t>, організацій та установ, тощо)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B36701" w:rsidRDefault="00B36701" w:rsidP="00A7247F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 w:rsid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передача земельних ділянок на території міської ради, як вкладу в спільну діяльність під будівництва житлових будинків суб</w:t>
      </w:r>
      <w:r w:rsidR="008B649B" w:rsidRP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="008B649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єктам господарювання (забудовнику) </w:t>
      </w:r>
      <w:r w:rsidR="00C70CBA">
        <w:rPr>
          <w:rFonts w:ascii="Times New Roman" w:hAnsi="Times New Roman"/>
          <w:color w:val="000000"/>
          <w:sz w:val="28"/>
          <w:szCs w:val="28"/>
          <w:lang w:val="uk-UA" w:eastAsia="ru-RU"/>
        </w:rPr>
        <w:t>з подальшим виділенням квартир пропорційної вартості земельних ділянок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C70CBA" w:rsidRPr="00C70CBA" w:rsidRDefault="00C70CBA" w:rsidP="00A7247F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відведення земельних ділянок в постійне користування виконавчим органам, комунальним підприємствам та державним установам без фінансового забезпечення з можливостю заключенням інвестиційного договору</w:t>
      </w:r>
      <w:r w:rsidRPr="00C70CB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36701" w:rsidRDefault="00B36701" w:rsidP="00C11C18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- передача недобудованих будівель комунальної, </w:t>
      </w:r>
      <w:r w:rsidR="00C70CBA">
        <w:rPr>
          <w:rFonts w:ascii="Times New Roman" w:hAnsi="Times New Roman"/>
          <w:color w:val="000000"/>
          <w:sz w:val="28"/>
          <w:szCs w:val="28"/>
          <w:lang w:val="uk-UA" w:eastAsia="ru-RU"/>
        </w:rPr>
        <w:t>державної</w:t>
      </w: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інших форм власності під реконструкцію, будівництво житла з подальшим розподілом 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квот на житло</w:t>
      </w:r>
      <w:r w:rsidR="00C70CB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(згідно інвестиційного договору).</w:t>
      </w:r>
    </w:p>
    <w:p w:rsidR="00C70CBA" w:rsidRDefault="00C70CBA" w:rsidP="00A7247F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701" w:rsidRDefault="00C70CBA" w:rsidP="00A7247F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6</w:t>
      </w:r>
      <w:r w:rsidR="00B36701" w:rsidRPr="00A7247F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. Обсяги та джерела фінансування Програми</w:t>
      </w:r>
    </w:p>
    <w:p w:rsidR="00B36701" w:rsidRPr="00A7247F" w:rsidRDefault="00B36701" w:rsidP="00A7247F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B36701" w:rsidRPr="00C70CBA" w:rsidRDefault="00B36701" w:rsidP="009F7D2E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Фінансування Програми здійснюється за рахунок коштів: бюджету Херсонської міської територіальної громади, державного бюджету, обласного бюджету, залучених коштів, підприємств та організацій, інших джерел фінансування, які не заборонені діючим законодавством </w:t>
      </w:r>
      <w:r w:rsidR="00C70CBA">
        <w:rPr>
          <w:rFonts w:ascii="Times New Roman" w:hAnsi="Times New Roman"/>
          <w:color w:val="000000"/>
          <w:sz w:val="28"/>
          <w:szCs w:val="28"/>
          <w:lang w:val="uk-UA" w:eastAsia="ru-RU"/>
        </w:rPr>
        <w:t>та інвесторів (згідно інвестиційного договору).</w:t>
      </w:r>
    </w:p>
    <w:p w:rsidR="00B36701" w:rsidRDefault="00B36701" w:rsidP="00A7247F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11C18" w:rsidRDefault="00C11C18" w:rsidP="00A7247F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C11C1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7. Порядок розподілу житла </w:t>
      </w:r>
    </w:p>
    <w:p w:rsidR="00C11C18" w:rsidRPr="00C11C18" w:rsidRDefault="00C11C18" w:rsidP="00A7247F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Розподіл житла здійснюються рішенням виконавчого комітету Херсонської міської ради за результатом розгляду заяв керівників зацікавлених осіб в отримані житла. </w:t>
      </w:r>
    </w:p>
    <w:p w:rsidR="00C11C18" w:rsidRPr="00A7247F" w:rsidRDefault="00C11C18" w:rsidP="00A7247F">
      <w:pPr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Pr="00A7247F" w:rsidRDefault="00C11C18" w:rsidP="00A7247F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8</w:t>
      </w:r>
      <w:r w:rsidR="00B36701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. Координація та контроль </w:t>
      </w:r>
      <w:r w:rsidR="00B36701" w:rsidRPr="00A7247F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за виконанням програми</w:t>
      </w:r>
    </w:p>
    <w:p w:rsidR="00B36701" w:rsidRDefault="00B36701" w:rsidP="00441FDC">
      <w:pPr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36701" w:rsidRDefault="00B36701" w:rsidP="00C70CB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72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  метою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виконання програми </w:t>
      </w:r>
      <w:r w:rsidR="00C70CBA">
        <w:rPr>
          <w:rFonts w:ascii="Times New Roman" w:hAnsi="Times New Roman"/>
          <w:color w:val="000000"/>
          <w:sz w:val="28"/>
          <w:szCs w:val="28"/>
          <w:lang w:val="uk-UA" w:eastAsia="ru-RU"/>
        </w:rPr>
        <w:t>управлінню капітального будівництва Херсонської міської ради контролювати виконання програм</w:t>
      </w:r>
      <w:r w:rsidR="00C11C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 та забезпечити дотримання вимог чинного законодавства. </w:t>
      </w:r>
    </w:p>
    <w:p w:rsidR="00C11C18" w:rsidRDefault="00C11C18" w:rsidP="00C70CB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11C18" w:rsidRDefault="00C11C18" w:rsidP="00C70CB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11C18" w:rsidRDefault="00C11C18" w:rsidP="00C70CB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11C18" w:rsidRDefault="00C11C18" w:rsidP="00C70CB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11C18" w:rsidRPr="00A7247F" w:rsidRDefault="00C11C18" w:rsidP="00C70CBA">
      <w:pPr>
        <w:ind w:firstLine="708"/>
        <w:jc w:val="both"/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p w:rsidR="00B36701" w:rsidRDefault="00B36701" w:rsidP="00441FDC">
      <w:pPr>
        <w:rPr>
          <w:rFonts w:ascii="Times New Roman" w:hAnsi="Times New Roman"/>
          <w:color w:val="000000"/>
          <w:lang w:val="uk-UA" w:eastAsia="ru-RU"/>
        </w:rPr>
      </w:pPr>
    </w:p>
    <w:sectPr w:rsidR="00B36701" w:rsidSect="0086016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F87"/>
    <w:multiLevelType w:val="multilevel"/>
    <w:tmpl w:val="D2C8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">
    <w:nsid w:val="052F1969"/>
    <w:multiLevelType w:val="hybridMultilevel"/>
    <w:tmpl w:val="9B4A0A4A"/>
    <w:lvl w:ilvl="0" w:tplc="E73683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2F7F"/>
    <w:multiLevelType w:val="hybridMultilevel"/>
    <w:tmpl w:val="F1E0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C1BDE"/>
    <w:multiLevelType w:val="hybridMultilevel"/>
    <w:tmpl w:val="0C58DF38"/>
    <w:lvl w:ilvl="0" w:tplc="4B1009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1668A"/>
    <w:multiLevelType w:val="hybridMultilevel"/>
    <w:tmpl w:val="A29224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E30FF"/>
    <w:multiLevelType w:val="hybridMultilevel"/>
    <w:tmpl w:val="4D146EE0"/>
    <w:lvl w:ilvl="0" w:tplc="9C6E8D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FDC"/>
    <w:rsid w:val="00094B5C"/>
    <w:rsid w:val="000A7C35"/>
    <w:rsid w:val="001A54C6"/>
    <w:rsid w:val="001B30C0"/>
    <w:rsid w:val="002929B9"/>
    <w:rsid w:val="002E7520"/>
    <w:rsid w:val="00347776"/>
    <w:rsid w:val="00370213"/>
    <w:rsid w:val="0037796A"/>
    <w:rsid w:val="003C6E92"/>
    <w:rsid w:val="00441FDC"/>
    <w:rsid w:val="00471D63"/>
    <w:rsid w:val="00472B9C"/>
    <w:rsid w:val="004A7453"/>
    <w:rsid w:val="00527721"/>
    <w:rsid w:val="005442C3"/>
    <w:rsid w:val="005808E2"/>
    <w:rsid w:val="005834EC"/>
    <w:rsid w:val="005D6D4B"/>
    <w:rsid w:val="007567D6"/>
    <w:rsid w:val="00785245"/>
    <w:rsid w:val="00860164"/>
    <w:rsid w:val="008B649B"/>
    <w:rsid w:val="009006A0"/>
    <w:rsid w:val="0096301C"/>
    <w:rsid w:val="00970B76"/>
    <w:rsid w:val="009F3D0A"/>
    <w:rsid w:val="009F7D2E"/>
    <w:rsid w:val="00A2201B"/>
    <w:rsid w:val="00A5034C"/>
    <w:rsid w:val="00A7247F"/>
    <w:rsid w:val="00B36701"/>
    <w:rsid w:val="00B42217"/>
    <w:rsid w:val="00BC0119"/>
    <w:rsid w:val="00BD441F"/>
    <w:rsid w:val="00C11C18"/>
    <w:rsid w:val="00C45E63"/>
    <w:rsid w:val="00C70CBA"/>
    <w:rsid w:val="00D91DD2"/>
    <w:rsid w:val="00DB0314"/>
    <w:rsid w:val="00F10B9D"/>
    <w:rsid w:val="00F253CE"/>
    <w:rsid w:val="00F52121"/>
    <w:rsid w:val="00F9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3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FD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uiPriority w:val="99"/>
    <w:rsid w:val="00441FDC"/>
    <w:rPr>
      <w:rFonts w:cs="Times New Roman"/>
    </w:rPr>
  </w:style>
  <w:style w:type="paragraph" w:styleId="a4">
    <w:name w:val="List Paragraph"/>
    <w:basedOn w:val="a"/>
    <w:uiPriority w:val="99"/>
    <w:qFormat/>
    <w:rsid w:val="005442C3"/>
    <w:pPr>
      <w:ind w:left="720"/>
      <w:contextualSpacing/>
    </w:pPr>
  </w:style>
  <w:style w:type="character" w:customStyle="1" w:styleId="a5">
    <w:name w:val="Основной текст_"/>
    <w:link w:val="3"/>
    <w:uiPriority w:val="99"/>
    <w:locked/>
    <w:rsid w:val="005808E2"/>
    <w:rPr>
      <w:rFonts w:ascii="Century Schoolbook" w:eastAsia="Times New Roman" w:hAnsi="Century Schoolbook" w:cs="Century Schoolbook"/>
      <w:spacing w:val="1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5808E2"/>
    <w:pPr>
      <w:widowControl w:val="0"/>
      <w:shd w:val="clear" w:color="auto" w:fill="FFFFFF"/>
      <w:spacing w:after="780" w:line="274" w:lineRule="exact"/>
      <w:ind w:hanging="1540"/>
      <w:jc w:val="both"/>
    </w:pPr>
    <w:rPr>
      <w:rFonts w:ascii="Century Schoolbook" w:hAnsi="Century Schoolbook" w:cs="Century Schoolbook"/>
      <w:spacing w:val="11"/>
      <w:sz w:val="18"/>
      <w:szCs w:val="18"/>
    </w:rPr>
  </w:style>
  <w:style w:type="character" w:customStyle="1" w:styleId="1">
    <w:name w:val="Основной текст1"/>
    <w:uiPriority w:val="99"/>
    <w:rsid w:val="00BC0119"/>
    <w:rPr>
      <w:rFonts w:ascii="Century Schoolbook" w:eastAsia="Times New Roman" w:hAnsi="Century Schoolbook" w:cs="Century Schoolbook"/>
      <w:color w:val="000000"/>
      <w:spacing w:val="11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table" w:styleId="a6">
    <w:name w:val="Table Grid"/>
    <w:basedOn w:val="a1"/>
    <w:uiPriority w:val="99"/>
    <w:rsid w:val="009F7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\\Users\..\..\var\folders\d2\2sk4wwm56hz8v3j8jz1_xtqh0000gp\T\com.microsoft.Word\WebArchiveCopyPasteTempFiles\ecblank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Users\..\..\var\folders\d2\2sk4wwm56hz8v3j8jz1_xtqh0000gp\T\com.microsoft.Word\WebArchiveCopyPasteTempFiles\ecblank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6089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Програми забезпечення</vt:lpstr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Програми забезпечення</dc:title>
  <dc:creator>Microsoft Office User</dc:creator>
  <cp:lastModifiedBy>Master</cp:lastModifiedBy>
  <cp:revision>2</cp:revision>
  <dcterms:created xsi:type="dcterms:W3CDTF">2021-08-18T12:29:00Z</dcterms:created>
  <dcterms:modified xsi:type="dcterms:W3CDTF">2021-08-18T12:29:00Z</dcterms:modified>
</cp:coreProperties>
</file>